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24" w:rsidRDefault="004C32F3" w:rsidP="00D47624">
      <w:pPr>
        <w:suppressAutoHyphens/>
        <w:spacing w:after="0"/>
        <w:ind w:left="5670" w:hanging="567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  <w:sectPr w:rsidR="00D47624" w:rsidSect="00C743D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33440" cy="8169910"/>
            <wp:effectExtent l="19050" t="0" r="0" b="0"/>
            <wp:docPr id="1" name="Рисунок 1" descr="C:\Users\Симахина Е\Desktop\мир прог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махина Е\Desktop\мир прог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</w:t>
      </w:r>
      <w:r w:rsidR="004C32F3">
        <w:rPr>
          <w:rFonts w:ascii="Times New Roman" w:hAnsi="Times New Roman" w:cs="Times New Roman"/>
          <w:sz w:val="24"/>
          <w:szCs w:val="24"/>
        </w:rPr>
        <w:t>са внеурочной деятельности для 3</w:t>
      </w:r>
      <w:r w:rsidRPr="000354BD">
        <w:rPr>
          <w:rFonts w:ascii="Times New Roman" w:hAnsi="Times New Roman" w:cs="Times New Roman"/>
          <w:sz w:val="24"/>
          <w:szCs w:val="24"/>
        </w:rPr>
        <w:t xml:space="preserve">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="004C32F3">
        <w:rPr>
          <w:rFonts w:ascii="Times New Roman" w:hAnsi="Times New Roman" w:cs="Times New Roman"/>
          <w:sz w:val="24"/>
          <w:szCs w:val="24"/>
        </w:rPr>
        <w:t xml:space="preserve">».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4C32F3" w:rsidRDefault="004C32F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4C32F3" w:rsidRDefault="004C32F3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4C32F3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</w:t>
      </w:r>
      <w:r w:rsidR="002C6C62">
        <w:rPr>
          <w:rFonts w:ascii="Times New Roman" w:hAnsi="Times New Roman"/>
          <w:b/>
          <w:sz w:val="24"/>
          <w:szCs w:val="24"/>
        </w:rPr>
        <w:t>4</w:t>
      </w:r>
      <w:r w:rsidR="002C6C62"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</w:t>
      </w:r>
      <w:r>
        <w:lastRenderedPageBreak/>
        <w:t xml:space="preserve">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4C32F3">
      <w:pPr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D47624" w:rsidRPr="00444DC1" w:rsidRDefault="00D47624" w:rsidP="004C3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Look w:val="04A0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062864" w:rsidP="00245A9F">
            <w:pPr>
              <w:spacing w:before="120"/>
            </w:pPr>
            <w:hyperlink r:id="rId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062864" w:rsidP="00245A9F">
            <w:pPr>
              <w:spacing w:before="120"/>
            </w:pPr>
            <w:hyperlink r:id="rId1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062864" w:rsidP="00245A9F">
            <w:pPr>
              <w:shd w:val="clear" w:color="auto" w:fill="FFFFFF"/>
              <w:spacing w:before="120"/>
            </w:pPr>
            <w:hyperlink r:id="rId1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1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3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062864" w:rsidP="00245A9F">
            <w:pPr>
              <w:spacing w:before="120"/>
            </w:pPr>
            <w:hyperlink r:id="rId14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062864" w:rsidP="00245A9F">
            <w:pPr>
              <w:spacing w:before="120"/>
            </w:pPr>
            <w:hyperlink r:id="rId1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062864" w:rsidP="00245A9F">
            <w:pPr>
              <w:shd w:val="clear" w:color="auto" w:fill="FFFFFF"/>
              <w:spacing w:before="120"/>
            </w:pPr>
            <w:hyperlink r:id="rId1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1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8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062864" w:rsidP="00245A9F">
            <w:pPr>
              <w:spacing w:before="120"/>
            </w:pPr>
            <w:hyperlink r:id="rId1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062864" w:rsidP="00245A9F">
            <w:pPr>
              <w:spacing w:before="120"/>
            </w:pPr>
            <w:hyperlink r:id="rId2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062864" w:rsidP="00245A9F">
            <w:pPr>
              <w:shd w:val="clear" w:color="auto" w:fill="FFFFFF"/>
              <w:spacing w:before="120"/>
            </w:pPr>
            <w:hyperlink r:id="rId2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2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23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2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D6" w:rsidRDefault="00934AD6" w:rsidP="00C743DE">
      <w:pPr>
        <w:spacing w:after="0" w:line="240" w:lineRule="auto"/>
      </w:pPr>
      <w:r>
        <w:separator/>
      </w:r>
    </w:p>
  </w:endnote>
  <w:endnote w:type="continuationSeparator" w:id="1">
    <w:p w:rsidR="00934AD6" w:rsidRDefault="00934AD6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4516"/>
      <w:docPartObj>
        <w:docPartGallery w:val="Page Numbers (Bottom of Page)"/>
        <w:docPartUnique/>
      </w:docPartObj>
    </w:sdtPr>
    <w:sdtContent>
      <w:p w:rsidR="0039746D" w:rsidRDefault="00062864">
        <w:pPr>
          <w:pStyle w:val="ae"/>
          <w:jc w:val="center"/>
        </w:pPr>
        <w:fldSimple w:instr=" PAGE   \* MERGEFORMAT ">
          <w:r w:rsidR="004C32F3">
            <w:rPr>
              <w:noProof/>
            </w:rPr>
            <w:t>1</w:t>
          </w:r>
        </w:fldSimple>
      </w:p>
    </w:sdtContent>
  </w:sdt>
  <w:p w:rsidR="0039746D" w:rsidRDefault="003974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D6" w:rsidRDefault="00934AD6" w:rsidP="00C743DE">
      <w:pPr>
        <w:spacing w:after="0" w:line="240" w:lineRule="auto"/>
      </w:pPr>
      <w:r>
        <w:separator/>
      </w:r>
    </w:p>
  </w:footnote>
  <w:footnote w:type="continuationSeparator" w:id="1">
    <w:p w:rsidR="00934AD6" w:rsidRDefault="00934AD6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624"/>
    <w:rsid w:val="000078F1"/>
    <w:rsid w:val="0005051B"/>
    <w:rsid w:val="000604F5"/>
    <w:rsid w:val="00062864"/>
    <w:rsid w:val="001857FB"/>
    <w:rsid w:val="001B5628"/>
    <w:rsid w:val="001D354B"/>
    <w:rsid w:val="001F01B5"/>
    <w:rsid w:val="00245A9F"/>
    <w:rsid w:val="00282875"/>
    <w:rsid w:val="002C6C62"/>
    <w:rsid w:val="003506D9"/>
    <w:rsid w:val="0039746D"/>
    <w:rsid w:val="004268F1"/>
    <w:rsid w:val="004365EC"/>
    <w:rsid w:val="00444DC1"/>
    <w:rsid w:val="004C32F3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34AD6"/>
    <w:rsid w:val="00A10B47"/>
    <w:rsid w:val="00A428C3"/>
    <w:rsid w:val="00A85316"/>
    <w:rsid w:val="00AC0281"/>
    <w:rsid w:val="00B211AC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3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iholocator.com/proforientaciya/karta-interesov" TargetMode="External"/><Relationship Id="rId18" Type="http://schemas.openxmlformats.org/officeDocument/2006/relationships/hyperlink" Target="http://psiholocator.com/proforientaciya/karta-interes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eobrazovanie.ru/gotovije_uroki_po_proforientatsii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profvibor.ru/" TargetMode="External"/><Relationship Id="rId17" Type="http://schemas.openxmlformats.org/officeDocument/2006/relationships/hyperlink" Target="http://profvibo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0" Type="http://schemas.openxmlformats.org/officeDocument/2006/relationships/hyperlink" Target="https://new.atlas100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eobrazovanie.ru/gotovije_uroki_po_proforientatsii.html" TargetMode="External"/><Relationship Id="rId24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://psiholocator.com/proforientaciya/karta-interesov" TargetMode="External"/><Relationship Id="rId10" Type="http://schemas.openxmlformats.org/officeDocument/2006/relationships/hyperlink" Target="https://new.atlas100.ru/" TargetMode="External"/><Relationship Id="rId19" Type="http://schemas.openxmlformats.org/officeDocument/2006/relationships/hyperlink" Target="https://proektoria.online/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lessons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://profvi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Турутина</dc:creator>
  <cp:lastModifiedBy>Симахина Е</cp:lastModifiedBy>
  <cp:revision>2</cp:revision>
  <dcterms:created xsi:type="dcterms:W3CDTF">2024-09-27T04:21:00Z</dcterms:created>
  <dcterms:modified xsi:type="dcterms:W3CDTF">2024-09-27T04:21:00Z</dcterms:modified>
</cp:coreProperties>
</file>